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page" w:horzAnchor="margin" w:tblpXSpec="center" w:tblpY="1813"/>
        <w:tblW w:w="16294" w:type="dxa"/>
        <w:tblLayout w:type="fixed"/>
        <w:tblLook w:val="04A0" w:firstRow="1" w:lastRow="0" w:firstColumn="1" w:lastColumn="0" w:noHBand="0" w:noVBand="1"/>
      </w:tblPr>
      <w:tblGrid>
        <w:gridCol w:w="8499"/>
        <w:gridCol w:w="1559"/>
        <w:gridCol w:w="1559"/>
        <w:gridCol w:w="1559"/>
        <w:gridCol w:w="1559"/>
        <w:gridCol w:w="1559"/>
      </w:tblGrid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FFE599" w:themeFill="accent4" w:themeFillTint="66"/>
          </w:tcPr>
          <w:p w:rsidR="0070744F" w:rsidRPr="001C6098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3CCB142" wp14:editId="6EB922B7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113030</wp:posOffset>
                      </wp:positionV>
                      <wp:extent cx="657225" cy="45719"/>
                      <wp:effectExtent l="0" t="19050" r="47625" b="31115"/>
                      <wp:wrapNone/>
                      <wp:docPr id="2" name="PIJL-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92B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" o:spid="_x0000_s1026" type="#_x0000_t13" style="position:absolute;margin-left:339.75pt;margin-top:8.9pt;width:51.7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" adj="20849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w:t xml:space="preserve">Bovenliggende vraag: </w:t>
            </w:r>
            <w:r w:rsidRPr="001C6098">
              <w:rPr>
                <w:rFonts w:ascii="Times New Roman" w:eastAsia="Times New Roman" w:hAnsi="Times New Roman"/>
                <w:b/>
                <w:noProof/>
                <w:color w:val="FFFFFF" w:themeColor="background1"/>
                <w:sz w:val="24"/>
                <w:szCs w:val="24"/>
                <w:lang w:eastAsia="nl-NL"/>
              </w:rPr>
              <w:t xml:space="preserve"> </w:t>
            </w:r>
          </w:p>
          <w:p w:rsidR="0070744F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</w:pPr>
            <w:r w:rsidRPr="001C6098"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w:t>hoe han</w:t>
            </w:r>
            <w: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w:t>delingsgericht werken wij  (al)</w:t>
            </w:r>
            <w:r w:rsidRPr="001C6098"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w:t>?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70744F" w:rsidRPr="00CC0C12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  <w:t>Kernbegrip 1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70744F" w:rsidRPr="00CC0C12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  <w:t>Kernbegrip 2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70744F" w:rsidRPr="00CC0C12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  <w:t>Kernbegrip 3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70744F" w:rsidRPr="00CC0C12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  <w:t>Kernbegrip 4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:rsidR="0070744F" w:rsidRPr="00CC0C12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1F497D"/>
                <w:sz w:val="20"/>
                <w:szCs w:val="20"/>
                <w:lang w:eastAsia="nl-NL"/>
              </w:rPr>
              <w:t>Kernbegrip 5</w:t>
            </w: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23501" w:rsidRDefault="0070744F" w:rsidP="0070744F">
            <w:pP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</w:pPr>
            <w: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F75BC58" wp14:editId="72C74B2A">
                      <wp:simplePos x="0" y="0"/>
                      <wp:positionH relativeFrom="column">
                        <wp:posOffset>5038090</wp:posOffset>
                      </wp:positionH>
                      <wp:positionV relativeFrom="paragraph">
                        <wp:posOffset>106680</wp:posOffset>
                      </wp:positionV>
                      <wp:extent cx="46355" cy="171450"/>
                      <wp:effectExtent l="19050" t="0" r="29845" b="38100"/>
                      <wp:wrapNone/>
                      <wp:docPr id="1" name="PIJL-OMLA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55" cy="1714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BD0A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IJL-OMLAAG 1" o:spid="_x0000_s1026" type="#_x0000_t67" style="position:absolute;margin-left:396.7pt;margin-top:8.4pt;width:3.6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" adj="18680" fillcolor="#5b9bd5 [3204]" strokecolor="#1f4d78 [1604]" strokeweight="1pt"/>
                  </w:pict>
                </mc:Fallback>
              </mc:AlternateContent>
            </w:r>
            <w:r>
              <w:rPr>
                <w:rFonts w:asciiTheme="majorHAnsi" w:eastAsia="Times New Roman" w:hAnsiTheme="majorHAnsi"/>
                <w:b/>
                <w:noProof/>
                <w:color w:val="323E4F" w:themeColor="text2" w:themeShade="BF"/>
                <w:sz w:val="24"/>
                <w:szCs w:val="24"/>
                <w:lang w:eastAsia="nl-NL"/>
              </w:rPr>
              <w:t>Principes of Uitgangspunten HGW</w:t>
            </w:r>
          </w:p>
        </w:tc>
        <w:tc>
          <w:tcPr>
            <w:tcW w:w="1559" w:type="dxa"/>
            <w:shd w:val="clear" w:color="auto" w:fill="auto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1. Ons handelen is doelgericht en we analyseren opbrengsten.</w:t>
            </w: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  <w:lang w:eastAsia="nl-NL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2. De onderwijs-/opvoedbehoeften van de leerling/groep staan centraal: wat hebben zij nodig?</w:t>
            </w:r>
          </w:p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  <w:lang w:eastAsia="nl-NL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 xml:space="preserve">3. Het gaat om afstemming en wisselwerking: </w:t>
            </w:r>
          </w:p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  <w:lang w:eastAsia="nl-NL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we gaan uit van transactie in de onderwijsleersituatie /opvoedsituatie.</w:t>
            </w:r>
          </w:p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4.</w:t>
            </w:r>
            <w:r w:rsidRPr="00CC0C12">
              <w:rPr>
                <w:rFonts w:asciiTheme="majorHAnsi" w:hAnsiTheme="majorHAnsi"/>
                <w:b/>
                <w:sz w:val="28"/>
                <w:szCs w:val="28"/>
              </w:rPr>
              <w:t xml:space="preserve"> De leraren/ouders doen ertoe: wat hebben zij nodig om het onderwijs aan hun kind/leerling te ondersteunen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CC0C12">
              <w:rPr>
                <w:rFonts w:asciiTheme="majorHAnsi" w:hAnsiTheme="majorHAnsi"/>
                <w:b/>
                <w:sz w:val="28"/>
                <w:szCs w:val="28"/>
              </w:rPr>
              <w:t>(ondersteuningsbehoeften)?</w:t>
            </w:r>
          </w:p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  <w:lang w:eastAsia="nl-NL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 xml:space="preserve">5. </w:t>
            </w:r>
            <w:r w:rsidRPr="00CC0C12">
              <w:rPr>
                <w:rFonts w:asciiTheme="majorHAnsi" w:hAnsiTheme="majorHAnsi"/>
                <w:b/>
                <w:sz w:val="28"/>
                <w:szCs w:val="28"/>
                <w:u w:val="single"/>
                <w:lang w:eastAsia="nl-NL"/>
              </w:rPr>
              <w:t xml:space="preserve">Positieve </w:t>
            </w: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aspecten van leerling, groep, leraar, team, ouders zijn van groot belang.</w:t>
            </w:r>
          </w:p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>6. We werken constructief samen (leraren, ouders, leerlingen,…).</w:t>
            </w: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  <w:tr w:rsidR="0070744F" w:rsidRPr="005B7836" w:rsidTr="0070744F">
        <w:trPr>
          <w:trHeight w:val="586"/>
        </w:trPr>
        <w:tc>
          <w:tcPr>
            <w:tcW w:w="8499" w:type="dxa"/>
            <w:shd w:val="clear" w:color="auto" w:fill="DBDBDB" w:themeFill="accent3" w:themeFillTint="66"/>
          </w:tcPr>
          <w:p w:rsidR="0070744F" w:rsidRPr="00CC0C12" w:rsidRDefault="0070744F" w:rsidP="0070744F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CC0C12">
              <w:rPr>
                <w:rFonts w:asciiTheme="majorHAnsi" w:hAnsiTheme="majorHAnsi"/>
                <w:b/>
                <w:sz w:val="28"/>
                <w:szCs w:val="28"/>
                <w:lang w:eastAsia="nl-NL"/>
              </w:rPr>
              <w:t xml:space="preserve">7. De werkwijze is systematisch en transparant. We doen wat we zeggen en we zeggen wat we doen. Formulieren zijn ondersteunend. </w:t>
            </w: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  <w:tc>
          <w:tcPr>
            <w:tcW w:w="1559" w:type="dxa"/>
          </w:tcPr>
          <w:p w:rsidR="0070744F" w:rsidRPr="00AA04B6" w:rsidRDefault="0070744F" w:rsidP="0070744F">
            <w:pPr>
              <w:rPr>
                <w:rFonts w:asciiTheme="majorHAnsi" w:eastAsia="Times New Roman" w:hAnsiTheme="majorHAnsi"/>
                <w:noProof/>
                <w:color w:val="1F497D"/>
                <w:sz w:val="16"/>
                <w:szCs w:val="16"/>
                <w:lang w:eastAsia="nl-NL"/>
              </w:rPr>
            </w:pPr>
          </w:p>
        </w:tc>
      </w:tr>
    </w:tbl>
    <w:p w:rsidR="00E6003F" w:rsidRDefault="009B1944">
      <w:pPr>
        <w:rPr>
          <w:b/>
          <w:sz w:val="24"/>
          <w:szCs w:val="24"/>
        </w:rPr>
      </w:pPr>
      <w:r w:rsidRPr="0070744F">
        <w:rPr>
          <w:b/>
          <w:sz w:val="24"/>
          <w:szCs w:val="24"/>
        </w:rPr>
        <w:t xml:space="preserve">C.6 Matrix HGW Schoolontwikkeling  Bron: </w:t>
      </w:r>
      <w:r w:rsidR="00C413F1" w:rsidRPr="0070744F">
        <w:rPr>
          <w:b/>
          <w:sz w:val="24"/>
          <w:szCs w:val="24"/>
        </w:rPr>
        <w:t>Bouma &amp; Van Meersbergen</w:t>
      </w:r>
      <w:r w:rsidRPr="0070744F">
        <w:rPr>
          <w:b/>
          <w:sz w:val="24"/>
          <w:szCs w:val="24"/>
        </w:rPr>
        <w:t xml:space="preserve"> (</w:t>
      </w:r>
      <w:r w:rsidR="00C413F1" w:rsidRPr="0070744F">
        <w:rPr>
          <w:b/>
          <w:sz w:val="24"/>
          <w:szCs w:val="24"/>
        </w:rPr>
        <w:t>201</w:t>
      </w:r>
      <w:r w:rsidR="0097334F" w:rsidRPr="0070744F">
        <w:rPr>
          <w:b/>
          <w:sz w:val="24"/>
          <w:szCs w:val="24"/>
        </w:rPr>
        <w:t>7</w:t>
      </w:r>
      <w:r w:rsidRPr="0070744F">
        <w:rPr>
          <w:b/>
          <w:sz w:val="24"/>
          <w:szCs w:val="24"/>
        </w:rPr>
        <w:t>)</w:t>
      </w:r>
    </w:p>
    <w:p w:rsidR="000E0191" w:rsidRDefault="000E0191">
      <w:pPr>
        <w:rPr>
          <w:b/>
          <w:sz w:val="24"/>
          <w:szCs w:val="24"/>
        </w:rPr>
      </w:pPr>
    </w:p>
    <w:p w:rsidR="000E0191" w:rsidRPr="0070744F" w:rsidRDefault="000E0191">
      <w:pPr>
        <w:rPr>
          <w:b/>
          <w:sz w:val="24"/>
          <w:szCs w:val="24"/>
        </w:rPr>
      </w:pPr>
    </w:p>
    <w:p w:rsidR="000E0191" w:rsidRDefault="000E0191" w:rsidP="000E0191">
      <w:pPr>
        <w:rPr>
          <w:rFonts w:asciiTheme="majorHAnsi" w:hAnsiTheme="majorHAnsi" w:cs="Arial"/>
          <w:color w:val="0070C0"/>
          <w:sz w:val="20"/>
          <w:szCs w:val="20"/>
        </w:rPr>
      </w:pPr>
      <w:r>
        <w:rPr>
          <w:rFonts w:asciiTheme="majorHAnsi" w:hAnsiTheme="majorHAnsi" w:cstheme="majorHAnsi"/>
          <w:color w:val="0070C0"/>
          <w:sz w:val="20"/>
          <w:szCs w:val="20"/>
        </w:rPr>
        <w:t>©</w:t>
      </w:r>
      <w:r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p w:rsidR="00E6003F" w:rsidRDefault="00E6003F">
      <w:bookmarkStart w:id="0" w:name="_GoBack"/>
      <w:bookmarkEnd w:id="0"/>
    </w:p>
    <w:p w:rsidR="0097334F" w:rsidRDefault="0097334F"/>
    <w:p w:rsidR="0097334F" w:rsidRDefault="0097334F"/>
    <w:p w:rsidR="001C6098" w:rsidRDefault="001C6098"/>
    <w:p w:rsidR="002D611A" w:rsidRDefault="002D611A" w:rsidP="00E92690"/>
    <w:sectPr w:rsidR="002D611A" w:rsidSect="00E600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B6"/>
    <w:rsid w:val="00007B44"/>
    <w:rsid w:val="000E0191"/>
    <w:rsid w:val="001607B6"/>
    <w:rsid w:val="001A56A7"/>
    <w:rsid w:val="001C6098"/>
    <w:rsid w:val="002D611A"/>
    <w:rsid w:val="0049088E"/>
    <w:rsid w:val="006C528C"/>
    <w:rsid w:val="0070744F"/>
    <w:rsid w:val="0097334F"/>
    <w:rsid w:val="009B1944"/>
    <w:rsid w:val="00A34A53"/>
    <w:rsid w:val="00A82D34"/>
    <w:rsid w:val="00AA04B6"/>
    <w:rsid w:val="00C23501"/>
    <w:rsid w:val="00C413F1"/>
    <w:rsid w:val="00CC0C12"/>
    <w:rsid w:val="00E6003F"/>
    <w:rsid w:val="00E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CA9F"/>
  <w15:docId w15:val="{C3358E8C-2FB3-40D3-831F-FB395C0C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AA04B6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A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45B6-8188-409B-B46F-4AEA3EB5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Regius College Schagen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 en anneke bouma en de vries</dc:creator>
  <cp:keywords/>
  <dc:description/>
  <cp:lastModifiedBy>Ruud Mascini</cp:lastModifiedBy>
  <cp:revision>6</cp:revision>
  <dcterms:created xsi:type="dcterms:W3CDTF">2017-02-11T13:16:00Z</dcterms:created>
  <dcterms:modified xsi:type="dcterms:W3CDTF">2017-05-26T09:14:00Z</dcterms:modified>
</cp:coreProperties>
</file>